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BC207" w14:textId="096849DB" w:rsidR="00D94A7F" w:rsidRDefault="00D94A7F" w:rsidP="00C348EE">
      <w:pPr>
        <w:pStyle w:val="NoSpacing"/>
      </w:pPr>
      <w:r>
        <w:t>Peer Review by Students</w:t>
      </w:r>
    </w:p>
    <w:p w14:paraId="00E60851" w14:textId="799AB43A" w:rsidR="00C348EE" w:rsidRDefault="00C348EE" w:rsidP="00C348EE">
      <w:pPr>
        <w:pStyle w:val="NoSpacing"/>
      </w:pPr>
      <w:r>
        <w:t xml:space="preserve">John Paul Kanwit and Samantha </w:t>
      </w:r>
      <w:proofErr w:type="spellStart"/>
      <w:r>
        <w:t>Demmerle</w:t>
      </w:r>
      <w:proofErr w:type="spellEnd"/>
    </w:p>
    <w:p w14:paraId="3F010670" w14:textId="77777777" w:rsidR="00C348EE" w:rsidRPr="00D94A7F" w:rsidRDefault="00C348EE" w:rsidP="00C348EE">
      <w:pPr>
        <w:pStyle w:val="NoSpacing"/>
      </w:pPr>
    </w:p>
    <w:p w14:paraId="5CC470B4" w14:textId="758FCE45" w:rsidR="2716D731" w:rsidRDefault="573724BC" w:rsidP="2716D731">
      <w:pPr>
        <w:rPr>
          <w:rFonts w:ascii="Calibri" w:eastAsia="Calibri" w:hAnsi="Calibri" w:cs="Calibri"/>
          <w:color w:val="222222"/>
        </w:rPr>
      </w:pPr>
      <w:r w:rsidRPr="573724BC">
        <w:rPr>
          <w:rFonts w:ascii="Calibri" w:eastAsia="Calibri" w:hAnsi="Calibri" w:cs="Calibri"/>
          <w:color w:val="222222"/>
        </w:rPr>
        <w:t xml:space="preserve">Peer review is an activity that exists in a variety of contexts (for example, a peer-reviewed scholarly manuscript or peer review of teaching), but as a pedagogical strategy it implies a situation in which students provide written or verbal feedback for each other on an on-going project. Peer review is a real-life skill that requires students to communicate clearly about project expectations, analyze different styles of language, and assess their own work in relation to others. Peer review is a useful tool in both online and face-to-face classes to foster community and to encourage formative self-assessment (Boettcher and Conrad, 2016; Griffin, 2018). In addition to promoting self-reflection, peer review increases the active learning potential of students (Mulder et al., 2014; Li et al. 2010; </w:t>
      </w:r>
      <w:proofErr w:type="spellStart"/>
      <w:r w:rsidRPr="573724BC">
        <w:rPr>
          <w:rFonts w:ascii="Calibri" w:eastAsia="Calibri" w:hAnsi="Calibri" w:cs="Calibri"/>
          <w:color w:val="222222"/>
        </w:rPr>
        <w:t>Wanner</w:t>
      </w:r>
      <w:proofErr w:type="spellEnd"/>
      <w:r w:rsidRPr="573724BC">
        <w:rPr>
          <w:rFonts w:ascii="Calibri" w:eastAsia="Calibri" w:hAnsi="Calibri" w:cs="Calibri"/>
          <w:color w:val="222222"/>
        </w:rPr>
        <w:t xml:space="preserve"> &amp; Palmer, 2018). Instead of passively waiting for instructors to provide the feedback in a course, students learn to respond to their peers’ work in productive and focused ways. In so doing, students learn more about the assignment, about their own strategies for composing written work, and about different ways of approaching a rhetorical task.</w:t>
      </w:r>
    </w:p>
    <w:p w14:paraId="0E4DE967" w14:textId="349225CB" w:rsidR="2716D731" w:rsidRDefault="2716D731" w:rsidP="2716D731">
      <w:pPr>
        <w:rPr>
          <w:rFonts w:ascii="Calibri" w:eastAsia="Calibri" w:hAnsi="Calibri" w:cs="Calibri"/>
          <w:color w:val="222222"/>
        </w:rPr>
      </w:pPr>
      <w:r w:rsidRPr="2716D731">
        <w:rPr>
          <w:rFonts w:ascii="Calibri" w:eastAsia="Calibri" w:hAnsi="Calibri" w:cs="Calibri"/>
          <w:color w:val="222222"/>
        </w:rPr>
        <w:t xml:space="preserve">Peer review can be frustrating to students who approach the task with low expectations of their peers' feedback. In order to facilitate a productive exchange of feedback, the emphasis should be on the feedback students </w:t>
      </w:r>
      <w:r w:rsidRPr="2716D731">
        <w:rPr>
          <w:rFonts w:ascii="Calibri" w:eastAsia="Calibri" w:hAnsi="Calibri" w:cs="Calibri"/>
          <w:i/>
          <w:iCs/>
          <w:color w:val="222222"/>
        </w:rPr>
        <w:t xml:space="preserve">provide, </w:t>
      </w:r>
      <w:r w:rsidRPr="2716D731">
        <w:rPr>
          <w:rFonts w:ascii="Calibri" w:eastAsia="Calibri" w:hAnsi="Calibri" w:cs="Calibri"/>
          <w:color w:val="222222"/>
        </w:rPr>
        <w:t>not</w:t>
      </w:r>
      <w:r w:rsidR="003B3BD5">
        <w:rPr>
          <w:rFonts w:ascii="Calibri" w:eastAsia="Calibri" w:hAnsi="Calibri" w:cs="Calibri"/>
          <w:color w:val="222222"/>
        </w:rPr>
        <w:t xml:space="preserve"> just on</w:t>
      </w:r>
      <w:r w:rsidRPr="2716D731">
        <w:rPr>
          <w:rFonts w:ascii="Calibri" w:eastAsia="Calibri" w:hAnsi="Calibri" w:cs="Calibri"/>
          <w:color w:val="222222"/>
        </w:rPr>
        <w:t xml:space="preserve"> the feedback they receive.</w:t>
      </w:r>
      <w:r w:rsidR="003B3BD5">
        <w:rPr>
          <w:rFonts w:ascii="Calibri" w:eastAsia="Calibri" w:hAnsi="Calibri" w:cs="Calibri"/>
          <w:color w:val="222222"/>
        </w:rPr>
        <w:t xml:space="preserve"> </w:t>
      </w:r>
      <w:r w:rsidRPr="2716D731">
        <w:rPr>
          <w:rFonts w:ascii="Calibri" w:eastAsia="Calibri" w:hAnsi="Calibri" w:cs="Calibri"/>
          <w:color w:val="222222"/>
        </w:rPr>
        <w:t>With this emphasis on active reflection, self-assessment, and the writing process--not product--students will develop interpersonal communication skills that will aid their own rhetorical clarity. To this end, instructors should consider when and how they will communicate about peer review with their students. While instructors often devote only single days to peer review, the strategy works best when integrated throughout a course, across multiple projects and drafts.</w:t>
      </w:r>
      <w:r w:rsidR="003B3BD5">
        <w:rPr>
          <w:rFonts w:ascii="Calibri" w:eastAsia="Calibri" w:hAnsi="Calibri" w:cs="Calibri"/>
          <w:color w:val="222222"/>
        </w:rPr>
        <w:t xml:space="preserve"> This recursive process will allow instructors to coach students to provide effective feedback to their peers.</w:t>
      </w:r>
    </w:p>
    <w:p w14:paraId="4D374668" w14:textId="5301C0AA" w:rsidR="2716D731" w:rsidRDefault="2716D731" w:rsidP="2716D731">
      <w:pPr>
        <w:rPr>
          <w:rFonts w:ascii="Calibri" w:eastAsia="Calibri" w:hAnsi="Calibri" w:cs="Calibri"/>
          <w:color w:val="222222"/>
          <w:u w:val="single"/>
        </w:rPr>
      </w:pPr>
      <w:r w:rsidRPr="2716D731">
        <w:rPr>
          <w:rFonts w:ascii="Calibri" w:eastAsia="Calibri" w:hAnsi="Calibri" w:cs="Calibri"/>
          <w:color w:val="222222"/>
          <w:u w:val="single"/>
        </w:rPr>
        <w:t>Pedagogical Implementation</w:t>
      </w:r>
    </w:p>
    <w:p w14:paraId="2ACDD3CD" w14:textId="0F0ECF13"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Determine how many writing assignments and peer reviews you will assign in your course.</w:t>
      </w:r>
    </w:p>
    <w:p w14:paraId="394AF47D" w14:textId="17A8EC8D" w:rsidR="2716D731" w:rsidRDefault="2716D731" w:rsidP="2716D731">
      <w:pPr>
        <w:pStyle w:val="ListParagraph"/>
        <w:numPr>
          <w:ilvl w:val="0"/>
          <w:numId w:val="2"/>
        </w:numPr>
        <w:rPr>
          <w:color w:val="222222"/>
        </w:rPr>
      </w:pPr>
      <w:r w:rsidRPr="2716D731">
        <w:rPr>
          <w:rFonts w:ascii="Calibri" w:eastAsia="Calibri" w:hAnsi="Calibri" w:cs="Calibri"/>
          <w:color w:val="222222"/>
        </w:rPr>
        <w:t>Specify in your syllabus how much these writing assignments and peer reviews count towards the overall course grade (be sure to count peer review substantially in the course grade if you want students to take the assignment seriously).</w:t>
      </w:r>
    </w:p>
    <w:p w14:paraId="28029C24" w14:textId="134933E9"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Establish clear guidelines (purpose, task, audience, evaluation criteria) and rubrics for each assignment.</w:t>
      </w:r>
    </w:p>
    <w:p w14:paraId="2B403432" w14:textId="1F561F35"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Write structured feedback forms for students that are based on your rubrics.</w:t>
      </w:r>
    </w:p>
    <w:p w14:paraId="01965A82" w14:textId="567FC056"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Allow students to practice peer review at least once before they are graded on the feedback that they provide.</w:t>
      </w:r>
    </w:p>
    <w:p w14:paraId="7912BF73" w14:textId="2B18B6D8"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Before the first paper is due, set aside class time to explain strategies for good feedback. This is a chance to explain the rubric in depth, provide model assignments and model feedback, and discuss the value of constructive feedback.</w:t>
      </w:r>
    </w:p>
    <w:p w14:paraId="2CFC1BC7" w14:textId="76177B15"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Have peer reviews due at least a week before the final draft is due.</w:t>
      </w:r>
    </w:p>
    <w:p w14:paraId="57CA5FF5" w14:textId="201D4071"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Allow students</w:t>
      </w:r>
      <w:r w:rsidR="001A5441">
        <w:rPr>
          <w:rFonts w:ascii="Calibri" w:eastAsia="Calibri" w:hAnsi="Calibri" w:cs="Calibri"/>
          <w:color w:val="222222"/>
        </w:rPr>
        <w:t xml:space="preserve"> 2-4</w:t>
      </w:r>
      <w:r w:rsidRPr="2716D731">
        <w:rPr>
          <w:rFonts w:ascii="Calibri" w:eastAsia="Calibri" w:hAnsi="Calibri" w:cs="Calibri"/>
          <w:color w:val="222222"/>
        </w:rPr>
        <w:t xml:space="preserve"> days to respond to peer work and another </w:t>
      </w:r>
      <w:r w:rsidR="001A5441">
        <w:rPr>
          <w:rFonts w:ascii="Calibri" w:eastAsia="Calibri" w:hAnsi="Calibri" w:cs="Calibri"/>
          <w:color w:val="222222"/>
        </w:rPr>
        <w:t>3-4</w:t>
      </w:r>
      <w:r w:rsidRPr="2716D731">
        <w:rPr>
          <w:rFonts w:ascii="Calibri" w:eastAsia="Calibri" w:hAnsi="Calibri" w:cs="Calibri"/>
          <w:color w:val="222222"/>
        </w:rPr>
        <w:t xml:space="preserve"> days to implement </w:t>
      </w:r>
      <w:r w:rsidR="003B3BD5">
        <w:rPr>
          <w:rFonts w:ascii="Calibri" w:eastAsia="Calibri" w:hAnsi="Calibri" w:cs="Calibri"/>
          <w:color w:val="222222"/>
        </w:rPr>
        <w:t>suggested</w:t>
      </w:r>
      <w:r w:rsidRPr="2716D731">
        <w:rPr>
          <w:rFonts w:ascii="Calibri" w:eastAsia="Calibri" w:hAnsi="Calibri" w:cs="Calibri"/>
          <w:color w:val="222222"/>
        </w:rPr>
        <w:t xml:space="preserve"> </w:t>
      </w:r>
      <w:r w:rsidR="003B3BD5">
        <w:rPr>
          <w:rFonts w:ascii="Calibri" w:eastAsia="Calibri" w:hAnsi="Calibri" w:cs="Calibri"/>
          <w:color w:val="222222"/>
        </w:rPr>
        <w:t>revisions</w:t>
      </w:r>
      <w:r w:rsidRPr="2716D731">
        <w:rPr>
          <w:rFonts w:ascii="Calibri" w:eastAsia="Calibri" w:hAnsi="Calibri" w:cs="Calibri"/>
          <w:color w:val="222222"/>
        </w:rPr>
        <w:t>.</w:t>
      </w:r>
    </w:p>
    <w:p w14:paraId="144CF4F2" w14:textId="09903132" w:rsidR="2716D731" w:rsidRDefault="2716D731" w:rsidP="2716D731">
      <w:pPr>
        <w:pStyle w:val="ListParagraph"/>
        <w:numPr>
          <w:ilvl w:val="0"/>
          <w:numId w:val="2"/>
        </w:numPr>
        <w:rPr>
          <w:rFonts w:eastAsiaTheme="minorEastAsia"/>
          <w:color w:val="222222"/>
        </w:rPr>
      </w:pPr>
      <w:r w:rsidRPr="2716D731">
        <w:rPr>
          <w:rFonts w:ascii="Calibri" w:eastAsia="Calibri" w:hAnsi="Calibri" w:cs="Calibri"/>
          <w:color w:val="222222"/>
        </w:rPr>
        <w:t xml:space="preserve">Ask students to craft a </w:t>
      </w:r>
      <w:r w:rsidRPr="00D94A7F">
        <w:rPr>
          <w:rFonts w:ascii="Calibri" w:eastAsia="Calibri" w:hAnsi="Calibri" w:cs="Calibri"/>
        </w:rPr>
        <w:t>revision plan</w:t>
      </w:r>
      <w:r w:rsidRPr="2716D731">
        <w:rPr>
          <w:rFonts w:ascii="Calibri" w:eastAsia="Calibri" w:hAnsi="Calibri" w:cs="Calibri"/>
          <w:color w:val="222222"/>
        </w:rPr>
        <w:t xml:space="preserve"> specifying </w:t>
      </w:r>
      <w:r w:rsidR="001A5441">
        <w:rPr>
          <w:rFonts w:ascii="Calibri" w:eastAsia="Calibri" w:hAnsi="Calibri" w:cs="Calibri"/>
          <w:color w:val="222222"/>
        </w:rPr>
        <w:t>which feedback is most useful to them and how they will implement this feedback</w:t>
      </w:r>
      <w:r w:rsidRPr="2716D731">
        <w:rPr>
          <w:rFonts w:ascii="Calibri" w:eastAsia="Calibri" w:hAnsi="Calibri" w:cs="Calibri"/>
          <w:color w:val="222222"/>
        </w:rPr>
        <w:t>.</w:t>
      </w:r>
    </w:p>
    <w:p w14:paraId="3F1F97D7" w14:textId="1DD05F77" w:rsidR="2716D731" w:rsidRDefault="2716D731" w:rsidP="2716D731">
      <w:pPr>
        <w:pStyle w:val="ListParagraph"/>
        <w:numPr>
          <w:ilvl w:val="0"/>
          <w:numId w:val="2"/>
        </w:numPr>
        <w:rPr>
          <w:color w:val="222222"/>
        </w:rPr>
      </w:pPr>
      <w:r w:rsidRPr="2716D731">
        <w:rPr>
          <w:rFonts w:ascii="Calibri" w:eastAsia="Calibri" w:hAnsi="Calibri" w:cs="Calibri"/>
          <w:color w:val="222222"/>
        </w:rPr>
        <w:lastRenderedPageBreak/>
        <w:t xml:space="preserve">If possible, have students engage in peer review several times </w:t>
      </w:r>
      <w:r w:rsidR="001A5441">
        <w:rPr>
          <w:rFonts w:ascii="Calibri" w:eastAsia="Calibri" w:hAnsi="Calibri" w:cs="Calibri"/>
          <w:color w:val="222222"/>
        </w:rPr>
        <w:t>during</w:t>
      </w:r>
      <w:r w:rsidRPr="2716D731">
        <w:rPr>
          <w:rFonts w:ascii="Calibri" w:eastAsia="Calibri" w:hAnsi="Calibri" w:cs="Calibri"/>
          <w:color w:val="222222"/>
        </w:rPr>
        <w:t xml:space="preserve"> the course with different peer review groups.</w:t>
      </w:r>
    </w:p>
    <w:p w14:paraId="7C5D19A8" w14:textId="2F13CE5D" w:rsidR="2716D731" w:rsidRDefault="2716D731" w:rsidP="2716D731">
      <w:pPr>
        <w:rPr>
          <w:rFonts w:ascii="Calibri" w:eastAsia="Calibri" w:hAnsi="Calibri" w:cs="Calibri"/>
          <w:color w:val="222222"/>
        </w:rPr>
      </w:pPr>
      <w:r w:rsidRPr="2716D731">
        <w:rPr>
          <w:rFonts w:ascii="Calibri" w:eastAsia="Calibri" w:hAnsi="Calibri" w:cs="Calibri"/>
          <w:color w:val="222222"/>
          <w:u w:val="single"/>
        </w:rPr>
        <w:t>Logistical Implementation in Canvas</w:t>
      </w:r>
      <w:r w:rsidRPr="2716D731">
        <w:rPr>
          <w:rFonts w:ascii="Calibri" w:eastAsia="Calibri" w:hAnsi="Calibri" w:cs="Calibri"/>
          <w:color w:val="222222"/>
        </w:rPr>
        <w:t>:</w:t>
      </w:r>
    </w:p>
    <w:p w14:paraId="63AFE1CE" w14:textId="51DBB051" w:rsidR="2716D731" w:rsidRDefault="2716D731" w:rsidP="2716D731">
      <w:pPr>
        <w:pStyle w:val="ListParagraph"/>
        <w:numPr>
          <w:ilvl w:val="0"/>
          <w:numId w:val="1"/>
        </w:numPr>
        <w:rPr>
          <w:rFonts w:eastAsiaTheme="minorEastAsia"/>
          <w:color w:val="222222"/>
        </w:rPr>
      </w:pPr>
      <w:r w:rsidRPr="2716D731">
        <w:rPr>
          <w:rFonts w:ascii="Calibri" w:eastAsia="Calibri" w:hAnsi="Calibri" w:cs="Calibri"/>
          <w:color w:val="222222"/>
        </w:rPr>
        <w:t>In Canvas,</w:t>
      </w:r>
      <w:r w:rsidR="001A5441">
        <w:rPr>
          <w:rFonts w:ascii="Calibri" w:eastAsia="Calibri" w:hAnsi="Calibri" w:cs="Calibri"/>
          <w:color w:val="222222"/>
        </w:rPr>
        <w:t xml:space="preserve"> go to</w:t>
      </w:r>
      <w:r w:rsidRPr="2716D731">
        <w:rPr>
          <w:rFonts w:ascii="Calibri" w:eastAsia="Calibri" w:hAnsi="Calibri" w:cs="Calibri"/>
          <w:color w:val="222222"/>
        </w:rPr>
        <w:t xml:space="preserve"> </w:t>
      </w:r>
      <w:r w:rsidR="001A5441">
        <w:rPr>
          <w:rFonts w:ascii="Calibri" w:eastAsia="Calibri" w:hAnsi="Calibri" w:cs="Calibri"/>
          <w:color w:val="222222"/>
        </w:rPr>
        <w:t>“</w:t>
      </w:r>
      <w:r w:rsidRPr="2716D731">
        <w:rPr>
          <w:rFonts w:ascii="Calibri" w:eastAsia="Calibri" w:hAnsi="Calibri" w:cs="Calibri"/>
          <w:color w:val="222222"/>
        </w:rPr>
        <w:t>edit assignment</w:t>
      </w:r>
      <w:r w:rsidR="001A5441">
        <w:rPr>
          <w:rFonts w:ascii="Calibri" w:eastAsia="Calibri" w:hAnsi="Calibri" w:cs="Calibri"/>
          <w:color w:val="222222"/>
        </w:rPr>
        <w:t>.”</w:t>
      </w:r>
    </w:p>
    <w:p w14:paraId="5CBAFCBC" w14:textId="7BFE7B74" w:rsidR="2716D731" w:rsidRDefault="2716D731" w:rsidP="2716D731">
      <w:pPr>
        <w:pStyle w:val="ListParagraph"/>
        <w:numPr>
          <w:ilvl w:val="0"/>
          <w:numId w:val="1"/>
        </w:numPr>
        <w:rPr>
          <w:color w:val="222222"/>
        </w:rPr>
      </w:pPr>
      <w:r w:rsidRPr="2716D731">
        <w:rPr>
          <w:rFonts w:ascii="Calibri" w:eastAsia="Calibri" w:hAnsi="Calibri" w:cs="Calibri"/>
          <w:color w:val="222222"/>
        </w:rPr>
        <w:t>Click "require peer reviews</w:t>
      </w:r>
      <w:r w:rsidR="001A5441">
        <w:rPr>
          <w:rFonts w:ascii="Calibri" w:eastAsia="Calibri" w:hAnsi="Calibri" w:cs="Calibri"/>
          <w:color w:val="222222"/>
        </w:rPr>
        <w:t>.</w:t>
      </w:r>
      <w:r w:rsidRPr="2716D731">
        <w:rPr>
          <w:rFonts w:ascii="Calibri" w:eastAsia="Calibri" w:hAnsi="Calibri" w:cs="Calibri"/>
          <w:color w:val="222222"/>
        </w:rPr>
        <w:t>"</w:t>
      </w:r>
    </w:p>
    <w:p w14:paraId="25E75464" w14:textId="79FD8F2A" w:rsidR="2716D731" w:rsidRDefault="2716D731" w:rsidP="2716D731">
      <w:pPr>
        <w:pStyle w:val="ListParagraph"/>
        <w:numPr>
          <w:ilvl w:val="0"/>
          <w:numId w:val="1"/>
        </w:numPr>
      </w:pPr>
      <w:r w:rsidRPr="001F59BE">
        <w:rPr>
          <w:rFonts w:ascii="Calibri" w:eastAsia="Calibri" w:hAnsi="Calibri" w:cs="Calibri"/>
          <w:color w:val="222222"/>
        </w:rPr>
        <w:t>You can choose to assign peer reviews manually or automatically. If you choose automatically, Canvas will give you the option to change the number of "reviews per user." If you want groups of three for your peer review, you would type "2" (we recommend groups of 3).</w:t>
      </w:r>
      <w:r w:rsidR="001F59BE" w:rsidRPr="001F59BE">
        <w:rPr>
          <w:rFonts w:ascii="Calibri" w:eastAsia="Calibri" w:hAnsi="Calibri" w:cs="Calibri"/>
          <w:color w:val="222222"/>
        </w:rPr>
        <w:t xml:space="preserve"> </w:t>
      </w:r>
      <w:r>
        <w:rPr>
          <w:noProof/>
        </w:rPr>
        <w:drawing>
          <wp:inline distT="0" distB="0" distL="0" distR="0" wp14:anchorId="24B5FBDF" wp14:editId="51DF661D">
            <wp:extent cx="5943600" cy="3848100"/>
            <wp:effectExtent l="0" t="0" r="0" b="0"/>
            <wp:docPr id="2034824477" name="Picture 203482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848100"/>
                    </a:xfrm>
                    <a:prstGeom prst="rect">
                      <a:avLst/>
                    </a:prstGeom>
                  </pic:spPr>
                </pic:pic>
              </a:graphicData>
            </a:graphic>
          </wp:inline>
        </w:drawing>
      </w:r>
    </w:p>
    <w:p w14:paraId="2506C735" w14:textId="118BE5F7" w:rsidR="2716D731" w:rsidRDefault="2716D731" w:rsidP="2716D731">
      <w:pPr>
        <w:rPr>
          <w:rFonts w:ascii="Calibri" w:eastAsia="Calibri" w:hAnsi="Calibri" w:cs="Calibri"/>
          <w:color w:val="222222"/>
        </w:rPr>
      </w:pPr>
      <w:r w:rsidRPr="2716D731">
        <w:rPr>
          <w:rFonts w:ascii="Calibri" w:eastAsia="Calibri" w:hAnsi="Calibri" w:cs="Calibri"/>
          <w:color w:val="222222"/>
        </w:rPr>
        <w:t xml:space="preserve">4. </w:t>
      </w:r>
      <w:r w:rsidR="001A5441">
        <w:rPr>
          <w:rFonts w:ascii="Calibri" w:eastAsia="Calibri" w:hAnsi="Calibri" w:cs="Calibri"/>
          <w:color w:val="222222"/>
        </w:rPr>
        <w:t>I</w:t>
      </w:r>
      <w:r w:rsidR="001A5441" w:rsidRPr="2716D731">
        <w:rPr>
          <w:rFonts w:ascii="Calibri" w:eastAsia="Calibri" w:hAnsi="Calibri" w:cs="Calibri"/>
          <w:color w:val="222222"/>
        </w:rPr>
        <w:t>n order to maintain a level of objectivity and neutrality for students' responses</w:t>
      </w:r>
      <w:r w:rsidR="001A5441">
        <w:rPr>
          <w:rFonts w:ascii="Calibri" w:eastAsia="Calibri" w:hAnsi="Calibri" w:cs="Calibri"/>
          <w:color w:val="222222"/>
        </w:rPr>
        <w:t>, w</w:t>
      </w:r>
      <w:r w:rsidRPr="2716D731">
        <w:rPr>
          <w:rFonts w:ascii="Calibri" w:eastAsia="Calibri" w:hAnsi="Calibri" w:cs="Calibri"/>
          <w:color w:val="222222"/>
        </w:rPr>
        <w:t>e encourage you to choose the anonymity</w:t>
      </w:r>
      <w:r w:rsidR="001A5441">
        <w:rPr>
          <w:rFonts w:ascii="Calibri" w:eastAsia="Calibri" w:hAnsi="Calibri" w:cs="Calibri"/>
          <w:color w:val="222222"/>
        </w:rPr>
        <w:t xml:space="preserve"> function.</w:t>
      </w:r>
      <w:r w:rsidRPr="2716D731">
        <w:rPr>
          <w:rFonts w:ascii="Calibri" w:eastAsia="Calibri" w:hAnsi="Calibri" w:cs="Calibri"/>
          <w:color w:val="222222"/>
        </w:rPr>
        <w:t xml:space="preserve"> </w:t>
      </w:r>
    </w:p>
    <w:p w14:paraId="2E5D2DEE" w14:textId="0AD0B485" w:rsidR="2716D731" w:rsidRDefault="2716D731" w:rsidP="2716D731">
      <w:pPr>
        <w:rPr>
          <w:rFonts w:ascii="Calibri" w:eastAsia="Calibri" w:hAnsi="Calibri" w:cs="Calibri"/>
          <w:color w:val="222222"/>
          <w:u w:val="single"/>
        </w:rPr>
      </w:pPr>
      <w:r w:rsidRPr="2716D731">
        <w:rPr>
          <w:rFonts w:ascii="Calibri" w:eastAsia="Calibri" w:hAnsi="Calibri" w:cs="Calibri"/>
          <w:color w:val="222222"/>
          <w:u w:val="single"/>
        </w:rPr>
        <w:t>Resources</w:t>
      </w:r>
    </w:p>
    <w:p w14:paraId="2F3681FB" w14:textId="0644B264" w:rsidR="2716D731" w:rsidRDefault="2716D731" w:rsidP="2716D731">
      <w:pPr>
        <w:rPr>
          <w:rFonts w:ascii="Calibri" w:eastAsia="Calibri" w:hAnsi="Calibri" w:cs="Calibri"/>
          <w:color w:val="222222"/>
        </w:rPr>
      </w:pPr>
      <w:r w:rsidRPr="2716D731">
        <w:rPr>
          <w:rFonts w:ascii="Calibri" w:eastAsia="Calibri" w:hAnsi="Calibri" w:cs="Calibri"/>
          <w:color w:val="222222"/>
        </w:rPr>
        <w:t>Boettcher, Judith V. and Rita Marie Conrad. 2016.</w:t>
      </w:r>
      <w:r w:rsidR="001A5441">
        <w:rPr>
          <w:rFonts w:ascii="Calibri" w:eastAsia="Calibri" w:hAnsi="Calibri" w:cs="Calibri"/>
          <w:color w:val="222222"/>
        </w:rPr>
        <w:t xml:space="preserve"> </w:t>
      </w:r>
      <w:hyperlink r:id="rId6" w:history="1">
        <w:r w:rsidRPr="00B03F7B">
          <w:rPr>
            <w:rStyle w:val="Hyperlink"/>
            <w:rFonts w:ascii="Calibri" w:eastAsia="Calibri" w:hAnsi="Calibri" w:cs="Calibri"/>
            <w:i/>
            <w:iCs/>
          </w:rPr>
          <w:t xml:space="preserve">The </w:t>
        </w:r>
        <w:r w:rsidR="008F7A1B">
          <w:rPr>
            <w:rStyle w:val="Hyperlink"/>
            <w:rFonts w:ascii="Calibri" w:eastAsia="Calibri" w:hAnsi="Calibri" w:cs="Calibri"/>
            <w:i/>
            <w:iCs/>
          </w:rPr>
          <w:t>o</w:t>
        </w:r>
        <w:r w:rsidRPr="00B03F7B">
          <w:rPr>
            <w:rStyle w:val="Hyperlink"/>
            <w:rFonts w:ascii="Calibri" w:eastAsia="Calibri" w:hAnsi="Calibri" w:cs="Calibri"/>
            <w:i/>
            <w:iCs/>
          </w:rPr>
          <w:t xml:space="preserve">nline </w:t>
        </w:r>
        <w:r w:rsidR="008F7A1B">
          <w:rPr>
            <w:rStyle w:val="Hyperlink"/>
            <w:rFonts w:ascii="Calibri" w:eastAsia="Calibri" w:hAnsi="Calibri" w:cs="Calibri"/>
            <w:i/>
            <w:iCs/>
          </w:rPr>
          <w:t>t</w:t>
        </w:r>
        <w:r w:rsidRPr="00B03F7B">
          <w:rPr>
            <w:rStyle w:val="Hyperlink"/>
            <w:rFonts w:ascii="Calibri" w:eastAsia="Calibri" w:hAnsi="Calibri" w:cs="Calibri"/>
            <w:i/>
            <w:iCs/>
          </w:rPr>
          <w:t xml:space="preserve">eaching </w:t>
        </w:r>
        <w:r w:rsidR="008F7A1B">
          <w:rPr>
            <w:rStyle w:val="Hyperlink"/>
            <w:rFonts w:ascii="Calibri" w:eastAsia="Calibri" w:hAnsi="Calibri" w:cs="Calibri"/>
            <w:i/>
            <w:iCs/>
          </w:rPr>
          <w:t>s</w:t>
        </w:r>
        <w:r w:rsidRPr="00B03F7B">
          <w:rPr>
            <w:rStyle w:val="Hyperlink"/>
            <w:rFonts w:ascii="Calibri" w:eastAsia="Calibri" w:hAnsi="Calibri" w:cs="Calibri"/>
            <w:i/>
            <w:iCs/>
          </w:rPr>
          <w:t xml:space="preserve">urvival </w:t>
        </w:r>
        <w:r w:rsidR="008F7A1B">
          <w:rPr>
            <w:rStyle w:val="Hyperlink"/>
            <w:rFonts w:ascii="Calibri" w:eastAsia="Calibri" w:hAnsi="Calibri" w:cs="Calibri"/>
            <w:i/>
            <w:iCs/>
          </w:rPr>
          <w:t>g</w:t>
        </w:r>
        <w:r w:rsidRPr="00B03F7B">
          <w:rPr>
            <w:rStyle w:val="Hyperlink"/>
            <w:rFonts w:ascii="Calibri" w:eastAsia="Calibri" w:hAnsi="Calibri" w:cs="Calibri"/>
            <w:i/>
            <w:iCs/>
          </w:rPr>
          <w:t>uide</w:t>
        </w:r>
      </w:hyperlink>
      <w:r w:rsidRPr="2716D731">
        <w:rPr>
          <w:rFonts w:ascii="Calibri" w:eastAsia="Calibri" w:hAnsi="Calibri" w:cs="Calibri"/>
          <w:color w:val="222222"/>
        </w:rPr>
        <w:t>. 2</w:t>
      </w:r>
      <w:r w:rsidRPr="2716D731">
        <w:rPr>
          <w:rFonts w:ascii="Calibri" w:eastAsia="Calibri" w:hAnsi="Calibri" w:cs="Calibri"/>
          <w:color w:val="222222"/>
          <w:vertAlign w:val="superscript"/>
        </w:rPr>
        <w:t>nd</w:t>
      </w:r>
      <w:r w:rsidRPr="2716D731">
        <w:rPr>
          <w:rFonts w:ascii="Calibri" w:eastAsia="Calibri" w:hAnsi="Calibri" w:cs="Calibri"/>
          <w:color w:val="222222"/>
        </w:rPr>
        <w:t xml:space="preserve"> Ed. San Francisco: Jossey-Bass.</w:t>
      </w:r>
    </w:p>
    <w:p w14:paraId="01A0C2B4" w14:textId="3168B1E9" w:rsidR="2716D731" w:rsidRDefault="2716D731" w:rsidP="2716D731">
      <w:pPr>
        <w:rPr>
          <w:rFonts w:ascii="Calibri" w:eastAsia="Calibri" w:hAnsi="Calibri" w:cs="Calibri"/>
          <w:color w:val="191919"/>
        </w:rPr>
      </w:pPr>
      <w:proofErr w:type="spellStart"/>
      <w:r w:rsidRPr="2716D731">
        <w:rPr>
          <w:rFonts w:ascii="Calibri" w:eastAsia="Calibri" w:hAnsi="Calibri" w:cs="Calibri"/>
          <w:color w:val="222222"/>
        </w:rPr>
        <w:t>Griffen</w:t>
      </w:r>
      <w:proofErr w:type="spellEnd"/>
      <w:r w:rsidRPr="2716D731">
        <w:rPr>
          <w:rFonts w:ascii="Calibri" w:eastAsia="Calibri" w:hAnsi="Calibri" w:cs="Calibri"/>
          <w:color w:val="222222"/>
        </w:rPr>
        <w:t xml:space="preserve">, June. 2018. “Writing-Intensive Course.” </w:t>
      </w:r>
      <w:hyperlink r:id="rId7" w:history="1">
        <w:r w:rsidRPr="00B03F7B">
          <w:rPr>
            <w:rStyle w:val="Hyperlink"/>
            <w:rFonts w:ascii="Calibri" w:eastAsia="Calibri" w:hAnsi="Calibri" w:cs="Calibri"/>
            <w:i/>
            <w:iCs/>
          </w:rPr>
          <w:t xml:space="preserve">High </w:t>
        </w:r>
        <w:r w:rsidR="008F7A1B">
          <w:rPr>
            <w:rStyle w:val="Hyperlink"/>
            <w:rFonts w:ascii="Calibri" w:eastAsia="Calibri" w:hAnsi="Calibri" w:cs="Calibri"/>
            <w:i/>
            <w:iCs/>
          </w:rPr>
          <w:t>i</w:t>
        </w:r>
        <w:r w:rsidRPr="00B03F7B">
          <w:rPr>
            <w:rStyle w:val="Hyperlink"/>
            <w:rFonts w:ascii="Calibri" w:eastAsia="Calibri" w:hAnsi="Calibri" w:cs="Calibri"/>
            <w:i/>
            <w:iCs/>
          </w:rPr>
          <w:t xml:space="preserve">mpact </w:t>
        </w:r>
        <w:r w:rsidR="008F7A1B">
          <w:rPr>
            <w:rStyle w:val="Hyperlink"/>
            <w:rFonts w:ascii="Calibri" w:eastAsia="Calibri" w:hAnsi="Calibri" w:cs="Calibri"/>
            <w:i/>
            <w:iCs/>
          </w:rPr>
          <w:t>p</w:t>
        </w:r>
        <w:r w:rsidRPr="00B03F7B">
          <w:rPr>
            <w:rStyle w:val="Hyperlink"/>
            <w:rFonts w:ascii="Calibri" w:eastAsia="Calibri" w:hAnsi="Calibri" w:cs="Calibri"/>
            <w:i/>
            <w:iCs/>
          </w:rPr>
          <w:t xml:space="preserve">ractices in </w:t>
        </w:r>
        <w:r w:rsidR="008F7A1B">
          <w:rPr>
            <w:rStyle w:val="Hyperlink"/>
            <w:rFonts w:ascii="Calibri" w:eastAsia="Calibri" w:hAnsi="Calibri" w:cs="Calibri"/>
            <w:i/>
            <w:iCs/>
          </w:rPr>
          <w:t>o</w:t>
        </w:r>
        <w:r w:rsidRPr="00B03F7B">
          <w:rPr>
            <w:rStyle w:val="Hyperlink"/>
            <w:rFonts w:ascii="Calibri" w:eastAsia="Calibri" w:hAnsi="Calibri" w:cs="Calibri"/>
            <w:i/>
            <w:iCs/>
          </w:rPr>
          <w:t xml:space="preserve">nline </w:t>
        </w:r>
        <w:r w:rsidR="008F7A1B">
          <w:rPr>
            <w:rStyle w:val="Hyperlink"/>
            <w:rFonts w:ascii="Calibri" w:eastAsia="Calibri" w:hAnsi="Calibri" w:cs="Calibri"/>
            <w:i/>
            <w:iCs/>
          </w:rPr>
          <w:t>e</w:t>
        </w:r>
        <w:r w:rsidRPr="00B03F7B">
          <w:rPr>
            <w:rStyle w:val="Hyperlink"/>
            <w:rFonts w:ascii="Calibri" w:eastAsia="Calibri" w:hAnsi="Calibri" w:cs="Calibri"/>
            <w:i/>
            <w:iCs/>
          </w:rPr>
          <w:t>ducation</w:t>
        </w:r>
      </w:hyperlink>
      <w:r w:rsidRPr="2716D731">
        <w:rPr>
          <w:rFonts w:ascii="Calibri" w:eastAsia="Calibri" w:hAnsi="Calibri" w:cs="Calibri"/>
          <w:i/>
          <w:iCs/>
          <w:color w:val="222222"/>
        </w:rPr>
        <w:t xml:space="preserve">. </w:t>
      </w:r>
      <w:r w:rsidRPr="2716D731">
        <w:rPr>
          <w:rFonts w:ascii="Calibri" w:eastAsia="Calibri" w:hAnsi="Calibri" w:cs="Calibri"/>
          <w:color w:val="222222"/>
        </w:rPr>
        <w:t>Ed.</w:t>
      </w:r>
      <w:r w:rsidRPr="2716D731">
        <w:rPr>
          <w:rFonts w:ascii="Calibri" w:eastAsia="Calibri" w:hAnsi="Calibri" w:cs="Calibri"/>
          <w:i/>
          <w:iCs/>
          <w:color w:val="222222"/>
        </w:rPr>
        <w:t xml:space="preserve"> </w:t>
      </w:r>
      <w:r w:rsidRPr="2716D731">
        <w:rPr>
          <w:rFonts w:ascii="Calibri" w:eastAsia="Calibri" w:hAnsi="Calibri" w:cs="Calibri"/>
          <w:color w:val="191919"/>
        </w:rPr>
        <w:t>Kathryn E. Linder and Chrysanthemum Mattison Hayes. Sterling, VA: Stylus.</w:t>
      </w:r>
    </w:p>
    <w:p w14:paraId="5E55E6C4" w14:textId="6B86584C" w:rsidR="2716D731" w:rsidRDefault="1DD35DF2" w:rsidP="2716D731">
      <w:pPr>
        <w:rPr>
          <w:rFonts w:ascii="Calibri" w:eastAsia="Calibri" w:hAnsi="Calibri" w:cs="Calibri"/>
          <w:color w:val="191919"/>
        </w:rPr>
      </w:pPr>
      <w:r w:rsidRPr="1DD35DF2">
        <w:rPr>
          <w:rFonts w:ascii="Calibri" w:eastAsia="Calibri" w:hAnsi="Calibri" w:cs="Calibri"/>
          <w:color w:val="191919"/>
        </w:rPr>
        <w:t xml:space="preserve">Li et al. 2010. “Assessor or </w:t>
      </w:r>
      <w:proofErr w:type="spellStart"/>
      <w:r w:rsidR="008F7A1B">
        <w:rPr>
          <w:rFonts w:ascii="Calibri" w:eastAsia="Calibri" w:hAnsi="Calibri" w:cs="Calibri"/>
          <w:color w:val="191919"/>
        </w:rPr>
        <w:t>a</w:t>
      </w:r>
      <w:r w:rsidRPr="1DD35DF2">
        <w:rPr>
          <w:rFonts w:ascii="Calibri" w:eastAsia="Calibri" w:hAnsi="Calibri" w:cs="Calibri"/>
          <w:color w:val="191919"/>
        </w:rPr>
        <w:t>ssessee</w:t>
      </w:r>
      <w:proofErr w:type="spellEnd"/>
      <w:r w:rsidRPr="1DD35DF2">
        <w:rPr>
          <w:rFonts w:ascii="Calibri" w:eastAsia="Calibri" w:hAnsi="Calibri" w:cs="Calibri"/>
          <w:color w:val="191919"/>
        </w:rPr>
        <w:t xml:space="preserve">: </w:t>
      </w:r>
      <w:r w:rsidR="008F7A1B">
        <w:rPr>
          <w:rFonts w:ascii="Calibri" w:eastAsia="Calibri" w:hAnsi="Calibri" w:cs="Calibri"/>
          <w:color w:val="191919"/>
        </w:rPr>
        <w:t>h</w:t>
      </w:r>
      <w:r w:rsidRPr="1DD35DF2">
        <w:rPr>
          <w:rFonts w:ascii="Calibri" w:eastAsia="Calibri" w:hAnsi="Calibri" w:cs="Calibri"/>
          <w:color w:val="191919"/>
        </w:rPr>
        <w:t xml:space="preserve">ow </w:t>
      </w:r>
      <w:r w:rsidR="008F7A1B">
        <w:rPr>
          <w:rFonts w:ascii="Calibri" w:eastAsia="Calibri" w:hAnsi="Calibri" w:cs="Calibri"/>
          <w:color w:val="191919"/>
        </w:rPr>
        <w:t>s</w:t>
      </w:r>
      <w:r w:rsidRPr="1DD35DF2">
        <w:rPr>
          <w:rFonts w:ascii="Calibri" w:eastAsia="Calibri" w:hAnsi="Calibri" w:cs="Calibri"/>
          <w:color w:val="191919"/>
        </w:rPr>
        <w:t xml:space="preserve">tudent </w:t>
      </w:r>
      <w:r w:rsidR="008F7A1B">
        <w:rPr>
          <w:rFonts w:ascii="Calibri" w:eastAsia="Calibri" w:hAnsi="Calibri" w:cs="Calibri"/>
          <w:color w:val="191919"/>
        </w:rPr>
        <w:t>l</w:t>
      </w:r>
      <w:r w:rsidRPr="1DD35DF2">
        <w:rPr>
          <w:rFonts w:ascii="Calibri" w:eastAsia="Calibri" w:hAnsi="Calibri" w:cs="Calibri"/>
          <w:color w:val="191919"/>
        </w:rPr>
        <w:t xml:space="preserve">earning </w:t>
      </w:r>
      <w:r w:rsidR="008F7A1B">
        <w:rPr>
          <w:rFonts w:ascii="Calibri" w:eastAsia="Calibri" w:hAnsi="Calibri" w:cs="Calibri"/>
          <w:color w:val="191919"/>
        </w:rPr>
        <w:t>i</w:t>
      </w:r>
      <w:r w:rsidRPr="1DD35DF2">
        <w:rPr>
          <w:rFonts w:ascii="Calibri" w:eastAsia="Calibri" w:hAnsi="Calibri" w:cs="Calibri"/>
          <w:color w:val="191919"/>
        </w:rPr>
        <w:t xml:space="preserve">mproves by </w:t>
      </w:r>
      <w:r w:rsidR="008F7A1B">
        <w:rPr>
          <w:rFonts w:ascii="Calibri" w:eastAsia="Calibri" w:hAnsi="Calibri" w:cs="Calibri"/>
          <w:color w:val="191919"/>
        </w:rPr>
        <w:t>g</w:t>
      </w:r>
      <w:r w:rsidRPr="1DD35DF2">
        <w:rPr>
          <w:rFonts w:ascii="Calibri" w:eastAsia="Calibri" w:hAnsi="Calibri" w:cs="Calibri"/>
          <w:color w:val="191919"/>
        </w:rPr>
        <w:t xml:space="preserve">iving and </w:t>
      </w:r>
      <w:r w:rsidR="008F7A1B">
        <w:rPr>
          <w:rFonts w:ascii="Calibri" w:eastAsia="Calibri" w:hAnsi="Calibri" w:cs="Calibri"/>
          <w:color w:val="191919"/>
        </w:rPr>
        <w:t>r</w:t>
      </w:r>
      <w:r w:rsidRPr="1DD35DF2">
        <w:rPr>
          <w:rFonts w:ascii="Calibri" w:eastAsia="Calibri" w:hAnsi="Calibri" w:cs="Calibri"/>
          <w:color w:val="191919"/>
        </w:rPr>
        <w:t xml:space="preserve">eceiving </w:t>
      </w:r>
      <w:r w:rsidR="008F7A1B">
        <w:rPr>
          <w:rFonts w:ascii="Calibri" w:eastAsia="Calibri" w:hAnsi="Calibri" w:cs="Calibri"/>
          <w:color w:val="191919"/>
        </w:rPr>
        <w:t>p</w:t>
      </w:r>
      <w:r w:rsidRPr="1DD35DF2">
        <w:rPr>
          <w:rFonts w:ascii="Calibri" w:eastAsia="Calibri" w:hAnsi="Calibri" w:cs="Calibri"/>
          <w:color w:val="191919"/>
        </w:rPr>
        <w:t xml:space="preserve">eer </w:t>
      </w:r>
      <w:r w:rsidR="008F7A1B">
        <w:rPr>
          <w:rFonts w:ascii="Calibri" w:eastAsia="Calibri" w:hAnsi="Calibri" w:cs="Calibri"/>
          <w:color w:val="191919"/>
        </w:rPr>
        <w:t>f</w:t>
      </w:r>
      <w:r w:rsidRPr="1DD35DF2">
        <w:rPr>
          <w:rFonts w:ascii="Calibri" w:eastAsia="Calibri" w:hAnsi="Calibri" w:cs="Calibri"/>
          <w:color w:val="191919"/>
        </w:rPr>
        <w:t>eedback.</w:t>
      </w:r>
      <w:r w:rsidR="001A5441">
        <w:rPr>
          <w:rFonts w:ascii="Calibri" w:eastAsia="Calibri" w:hAnsi="Calibri" w:cs="Calibri"/>
          <w:color w:val="191919"/>
        </w:rPr>
        <w:t>”</w:t>
      </w:r>
      <w:r w:rsidRPr="1DD35DF2">
        <w:rPr>
          <w:rFonts w:ascii="Calibri" w:eastAsia="Calibri" w:hAnsi="Calibri" w:cs="Calibri"/>
          <w:color w:val="191919"/>
        </w:rPr>
        <w:t xml:space="preserve"> </w:t>
      </w:r>
      <w:r w:rsidRPr="00B03F7B">
        <w:rPr>
          <w:rFonts w:ascii="Calibri" w:eastAsia="Calibri" w:hAnsi="Calibri" w:cs="Calibri"/>
          <w:i/>
          <w:iCs/>
          <w:color w:val="191919"/>
        </w:rPr>
        <w:t>British Journal of Educational Technology</w:t>
      </w:r>
      <w:r w:rsidRPr="1DD35DF2">
        <w:rPr>
          <w:rFonts w:ascii="Calibri" w:eastAsia="Calibri" w:hAnsi="Calibri" w:cs="Calibri"/>
          <w:color w:val="191919"/>
        </w:rPr>
        <w:t xml:space="preserve"> 41.3: 525-536.</w:t>
      </w:r>
    </w:p>
    <w:p w14:paraId="09BAE960" w14:textId="3BC830A4" w:rsidR="2716D731" w:rsidRDefault="2716D731" w:rsidP="2716D731">
      <w:pPr>
        <w:rPr>
          <w:rFonts w:ascii="Calibri" w:eastAsia="Calibri" w:hAnsi="Calibri" w:cs="Calibri"/>
          <w:color w:val="191919"/>
        </w:rPr>
      </w:pPr>
      <w:r w:rsidRPr="2716D731">
        <w:rPr>
          <w:rFonts w:ascii="Calibri" w:eastAsia="Calibri" w:hAnsi="Calibri" w:cs="Calibri"/>
          <w:color w:val="191919"/>
        </w:rPr>
        <w:t xml:space="preserve">Meeks, Melissa. 2017. “Teaching </w:t>
      </w:r>
      <w:r w:rsidR="008F7A1B">
        <w:rPr>
          <w:rFonts w:ascii="Calibri" w:eastAsia="Calibri" w:hAnsi="Calibri" w:cs="Calibri"/>
          <w:color w:val="191919"/>
        </w:rPr>
        <w:t>s</w:t>
      </w:r>
      <w:r w:rsidRPr="2716D731">
        <w:rPr>
          <w:rFonts w:ascii="Calibri" w:eastAsia="Calibri" w:hAnsi="Calibri" w:cs="Calibri"/>
          <w:color w:val="191919"/>
        </w:rPr>
        <w:t xml:space="preserve">tudents to </w:t>
      </w:r>
      <w:r w:rsidR="008F7A1B">
        <w:rPr>
          <w:rFonts w:ascii="Calibri" w:eastAsia="Calibri" w:hAnsi="Calibri" w:cs="Calibri"/>
          <w:color w:val="191919"/>
        </w:rPr>
        <w:t>w</w:t>
      </w:r>
      <w:r w:rsidRPr="2716D731">
        <w:rPr>
          <w:rFonts w:ascii="Calibri" w:eastAsia="Calibri" w:hAnsi="Calibri" w:cs="Calibri"/>
          <w:color w:val="191919"/>
        </w:rPr>
        <w:t xml:space="preserve">rite </w:t>
      </w:r>
      <w:r w:rsidR="008F7A1B">
        <w:rPr>
          <w:rFonts w:ascii="Calibri" w:eastAsia="Calibri" w:hAnsi="Calibri" w:cs="Calibri"/>
          <w:color w:val="191919"/>
        </w:rPr>
        <w:t>b</w:t>
      </w:r>
      <w:r w:rsidRPr="2716D731">
        <w:rPr>
          <w:rFonts w:ascii="Calibri" w:eastAsia="Calibri" w:hAnsi="Calibri" w:cs="Calibri"/>
          <w:color w:val="191919"/>
        </w:rPr>
        <w:t xml:space="preserve">etter </w:t>
      </w:r>
      <w:r w:rsidR="008F7A1B">
        <w:rPr>
          <w:rFonts w:ascii="Calibri" w:eastAsia="Calibri" w:hAnsi="Calibri" w:cs="Calibri"/>
          <w:color w:val="191919"/>
        </w:rPr>
        <w:t>r</w:t>
      </w:r>
      <w:r w:rsidRPr="2716D731">
        <w:rPr>
          <w:rFonts w:ascii="Calibri" w:eastAsia="Calibri" w:hAnsi="Calibri" w:cs="Calibri"/>
          <w:color w:val="191919"/>
        </w:rPr>
        <w:t xml:space="preserve">evision </w:t>
      </w:r>
      <w:r w:rsidR="008F7A1B">
        <w:rPr>
          <w:rFonts w:ascii="Calibri" w:eastAsia="Calibri" w:hAnsi="Calibri" w:cs="Calibri"/>
          <w:color w:val="191919"/>
        </w:rPr>
        <w:t>p</w:t>
      </w:r>
      <w:r w:rsidRPr="2716D731">
        <w:rPr>
          <w:rFonts w:ascii="Calibri" w:eastAsia="Calibri" w:hAnsi="Calibri" w:cs="Calibri"/>
          <w:color w:val="191919"/>
        </w:rPr>
        <w:t xml:space="preserve">lans.” The Eli Review Blog. </w:t>
      </w:r>
      <w:hyperlink r:id="rId8">
        <w:r w:rsidRPr="2716D731">
          <w:rPr>
            <w:rStyle w:val="Hyperlink"/>
            <w:rFonts w:ascii="Calibri" w:eastAsia="Calibri" w:hAnsi="Calibri" w:cs="Calibri"/>
          </w:rPr>
          <w:t>https://elireview.com/2017/05/22/teaching-revision-plans/</w:t>
        </w:r>
      </w:hyperlink>
      <w:r w:rsidRPr="2716D731">
        <w:rPr>
          <w:rFonts w:ascii="Calibri" w:eastAsia="Calibri" w:hAnsi="Calibri" w:cs="Calibri"/>
          <w:color w:val="191919"/>
        </w:rPr>
        <w:t xml:space="preserve">. </w:t>
      </w:r>
    </w:p>
    <w:p w14:paraId="77A5B9B1" w14:textId="7D27F801" w:rsidR="2716D731" w:rsidRDefault="1DD35DF2" w:rsidP="1DD35DF2">
      <w:pPr>
        <w:rPr>
          <w:rFonts w:ascii="Calibri" w:eastAsia="Calibri" w:hAnsi="Calibri" w:cs="Calibri"/>
          <w:color w:val="191919"/>
        </w:rPr>
      </w:pPr>
      <w:r w:rsidRPr="1DD35DF2">
        <w:rPr>
          <w:rFonts w:ascii="Calibri" w:eastAsia="Calibri" w:hAnsi="Calibri" w:cs="Calibri"/>
          <w:color w:val="191919"/>
        </w:rPr>
        <w:lastRenderedPageBreak/>
        <w:t xml:space="preserve">Mulder et al. 2014. “Peer </w:t>
      </w:r>
      <w:r w:rsidR="008F7A1B">
        <w:rPr>
          <w:rFonts w:ascii="Calibri" w:eastAsia="Calibri" w:hAnsi="Calibri" w:cs="Calibri"/>
          <w:color w:val="191919"/>
        </w:rPr>
        <w:t>r</w:t>
      </w:r>
      <w:r w:rsidRPr="1DD35DF2">
        <w:rPr>
          <w:rFonts w:ascii="Calibri" w:eastAsia="Calibri" w:hAnsi="Calibri" w:cs="Calibri"/>
          <w:color w:val="191919"/>
        </w:rPr>
        <w:t xml:space="preserve">eview in </w:t>
      </w:r>
      <w:r w:rsidR="008F7A1B">
        <w:rPr>
          <w:rFonts w:ascii="Calibri" w:eastAsia="Calibri" w:hAnsi="Calibri" w:cs="Calibri"/>
          <w:color w:val="191919"/>
        </w:rPr>
        <w:t>h</w:t>
      </w:r>
      <w:r w:rsidRPr="1DD35DF2">
        <w:rPr>
          <w:rFonts w:ascii="Calibri" w:eastAsia="Calibri" w:hAnsi="Calibri" w:cs="Calibri"/>
          <w:color w:val="191919"/>
        </w:rPr>
        <w:t xml:space="preserve">igher </w:t>
      </w:r>
      <w:r w:rsidR="008F7A1B">
        <w:rPr>
          <w:rFonts w:ascii="Calibri" w:eastAsia="Calibri" w:hAnsi="Calibri" w:cs="Calibri"/>
          <w:color w:val="191919"/>
        </w:rPr>
        <w:t>e</w:t>
      </w:r>
      <w:r w:rsidRPr="1DD35DF2">
        <w:rPr>
          <w:rFonts w:ascii="Calibri" w:eastAsia="Calibri" w:hAnsi="Calibri" w:cs="Calibri"/>
          <w:color w:val="191919"/>
        </w:rPr>
        <w:t xml:space="preserve">ducation: </w:t>
      </w:r>
      <w:r w:rsidR="008F7A1B">
        <w:rPr>
          <w:rFonts w:ascii="Calibri" w:eastAsia="Calibri" w:hAnsi="Calibri" w:cs="Calibri"/>
          <w:color w:val="191919"/>
        </w:rPr>
        <w:t>s</w:t>
      </w:r>
      <w:r w:rsidRPr="1DD35DF2">
        <w:rPr>
          <w:rFonts w:ascii="Calibri" w:eastAsia="Calibri" w:hAnsi="Calibri" w:cs="Calibri"/>
          <w:color w:val="191919"/>
        </w:rPr>
        <w:t xml:space="preserve">tudent </w:t>
      </w:r>
      <w:r w:rsidR="008F7A1B">
        <w:rPr>
          <w:rFonts w:ascii="Calibri" w:eastAsia="Calibri" w:hAnsi="Calibri" w:cs="Calibri"/>
          <w:color w:val="191919"/>
        </w:rPr>
        <w:t>p</w:t>
      </w:r>
      <w:r w:rsidRPr="1DD35DF2">
        <w:rPr>
          <w:rFonts w:ascii="Calibri" w:eastAsia="Calibri" w:hAnsi="Calibri" w:cs="Calibri"/>
          <w:color w:val="191919"/>
        </w:rPr>
        <w:t xml:space="preserve">erceptions </w:t>
      </w:r>
      <w:r w:rsidR="008F7A1B">
        <w:rPr>
          <w:rFonts w:ascii="Calibri" w:eastAsia="Calibri" w:hAnsi="Calibri" w:cs="Calibri"/>
          <w:color w:val="191919"/>
        </w:rPr>
        <w:t>b</w:t>
      </w:r>
      <w:r w:rsidRPr="1DD35DF2">
        <w:rPr>
          <w:rFonts w:ascii="Calibri" w:eastAsia="Calibri" w:hAnsi="Calibri" w:cs="Calibri"/>
          <w:color w:val="191919"/>
        </w:rPr>
        <w:t xml:space="preserve">efore and </w:t>
      </w:r>
      <w:r w:rsidR="008F7A1B">
        <w:rPr>
          <w:rFonts w:ascii="Calibri" w:eastAsia="Calibri" w:hAnsi="Calibri" w:cs="Calibri"/>
          <w:color w:val="191919"/>
        </w:rPr>
        <w:t>a</w:t>
      </w:r>
      <w:r w:rsidRPr="1DD35DF2">
        <w:rPr>
          <w:rFonts w:ascii="Calibri" w:eastAsia="Calibri" w:hAnsi="Calibri" w:cs="Calibri"/>
          <w:color w:val="191919"/>
        </w:rPr>
        <w:t xml:space="preserve">fter </w:t>
      </w:r>
      <w:r w:rsidR="008F7A1B">
        <w:rPr>
          <w:rFonts w:ascii="Calibri" w:eastAsia="Calibri" w:hAnsi="Calibri" w:cs="Calibri"/>
          <w:color w:val="191919"/>
        </w:rPr>
        <w:t>p</w:t>
      </w:r>
      <w:r w:rsidRPr="1DD35DF2">
        <w:rPr>
          <w:rFonts w:ascii="Calibri" w:eastAsia="Calibri" w:hAnsi="Calibri" w:cs="Calibri"/>
          <w:color w:val="191919"/>
        </w:rPr>
        <w:t xml:space="preserve">articipation.” </w:t>
      </w:r>
      <w:r w:rsidRPr="1DD35DF2">
        <w:rPr>
          <w:rFonts w:ascii="Calibri" w:eastAsia="Calibri" w:hAnsi="Calibri" w:cs="Calibri"/>
          <w:i/>
          <w:iCs/>
          <w:color w:val="191919"/>
        </w:rPr>
        <w:t xml:space="preserve">Active Learning in Higher Education </w:t>
      </w:r>
      <w:r w:rsidRPr="1DD35DF2">
        <w:rPr>
          <w:rFonts w:ascii="Calibri" w:eastAsia="Calibri" w:hAnsi="Calibri" w:cs="Calibri"/>
          <w:color w:val="191919"/>
        </w:rPr>
        <w:t>15.2: 157-171.</w:t>
      </w:r>
    </w:p>
    <w:p w14:paraId="7030F75B" w14:textId="562F625B" w:rsidR="2716D731" w:rsidRDefault="1DD35DF2" w:rsidP="2716D731">
      <w:pPr>
        <w:rPr>
          <w:rFonts w:ascii="Calibri" w:eastAsia="Calibri" w:hAnsi="Calibri" w:cs="Calibri"/>
        </w:rPr>
      </w:pPr>
      <w:r w:rsidRPr="1DD35DF2">
        <w:rPr>
          <w:rFonts w:ascii="Calibri" w:eastAsia="Calibri" w:hAnsi="Calibri" w:cs="Calibri"/>
          <w:color w:val="191919"/>
        </w:rPr>
        <w:t>“</w:t>
      </w:r>
      <w:hyperlink r:id="rId9">
        <w:r w:rsidRPr="1DD35DF2">
          <w:rPr>
            <w:rStyle w:val="Hyperlink"/>
            <w:rFonts w:ascii="Calibri" w:eastAsia="Calibri" w:hAnsi="Calibri" w:cs="Calibri"/>
            <w:color w:val="191919"/>
          </w:rPr>
          <w:t xml:space="preserve">Peer </w:t>
        </w:r>
        <w:r w:rsidR="008F7A1B">
          <w:rPr>
            <w:rStyle w:val="Hyperlink"/>
            <w:rFonts w:ascii="Calibri" w:eastAsia="Calibri" w:hAnsi="Calibri" w:cs="Calibri"/>
            <w:color w:val="191919"/>
          </w:rPr>
          <w:t>r</w:t>
        </w:r>
        <w:r w:rsidRPr="1DD35DF2">
          <w:rPr>
            <w:rStyle w:val="Hyperlink"/>
            <w:rFonts w:ascii="Calibri" w:eastAsia="Calibri" w:hAnsi="Calibri" w:cs="Calibri"/>
            <w:color w:val="191919"/>
          </w:rPr>
          <w:t xml:space="preserve">eview </w:t>
        </w:r>
        <w:r w:rsidR="008F7A1B">
          <w:rPr>
            <w:rStyle w:val="Hyperlink"/>
            <w:rFonts w:ascii="Calibri" w:eastAsia="Calibri" w:hAnsi="Calibri" w:cs="Calibri"/>
            <w:color w:val="191919"/>
          </w:rPr>
          <w:t>s</w:t>
        </w:r>
        <w:r w:rsidRPr="1DD35DF2">
          <w:rPr>
            <w:rStyle w:val="Hyperlink"/>
            <w:rFonts w:ascii="Calibri" w:eastAsia="Calibri" w:hAnsi="Calibri" w:cs="Calibri"/>
            <w:color w:val="191919"/>
          </w:rPr>
          <w:t>trategies</w:t>
        </w:r>
      </w:hyperlink>
      <w:r w:rsidRPr="1DD35DF2">
        <w:rPr>
          <w:rFonts w:ascii="Calibri" w:eastAsia="Calibri" w:hAnsi="Calibri" w:cs="Calibri"/>
          <w:color w:val="191919"/>
        </w:rPr>
        <w:t xml:space="preserve">.” </w:t>
      </w:r>
      <w:proofErr w:type="spellStart"/>
      <w:r w:rsidRPr="1DD35DF2">
        <w:rPr>
          <w:rFonts w:ascii="Calibri" w:eastAsia="Calibri" w:hAnsi="Calibri" w:cs="Calibri"/>
          <w:color w:val="191919"/>
        </w:rPr>
        <w:t>Profe</w:t>
      </w:r>
      <w:r w:rsidR="00B03F7B">
        <w:rPr>
          <w:rFonts w:ascii="Calibri" w:eastAsia="Calibri" w:hAnsi="Calibri" w:cs="Calibri"/>
          <w:color w:val="191919"/>
        </w:rPr>
        <w:t>s</w:t>
      </w:r>
      <w:r w:rsidRPr="1DD35DF2">
        <w:rPr>
          <w:rFonts w:ascii="Calibri" w:eastAsia="Calibri" w:hAnsi="Calibri" w:cs="Calibri"/>
          <w:color w:val="191919"/>
        </w:rPr>
        <w:t>sorPedia</w:t>
      </w:r>
      <w:proofErr w:type="spellEnd"/>
      <w:r w:rsidRPr="1DD35DF2">
        <w:rPr>
          <w:rFonts w:ascii="Calibri" w:eastAsia="Calibri" w:hAnsi="Calibri" w:cs="Calibri"/>
          <w:color w:val="191919"/>
        </w:rPr>
        <w:t xml:space="preserve">. </w:t>
      </w:r>
      <w:hyperlink r:id="rId10">
        <w:r w:rsidRPr="1DD35DF2">
          <w:rPr>
            <w:rStyle w:val="Hyperlink"/>
            <w:rFonts w:ascii="Calibri" w:eastAsia="Calibri" w:hAnsi="Calibri" w:cs="Calibri"/>
          </w:rPr>
          <w:t>https://inscribe.education/main/indianau/6754110229451715/compositions/6749461749435373?backToListTab=search&amp;searchText=peer+review</w:t>
        </w:r>
      </w:hyperlink>
      <w:r w:rsidRPr="1DD35DF2">
        <w:rPr>
          <w:rFonts w:ascii="Calibri" w:eastAsia="Calibri" w:hAnsi="Calibri" w:cs="Calibri"/>
        </w:rPr>
        <w:t>.</w:t>
      </w:r>
    </w:p>
    <w:p w14:paraId="7F9812A2" w14:textId="6633C9FF" w:rsidR="1DD35DF2" w:rsidRDefault="1DD35DF2" w:rsidP="1DD35DF2">
      <w:pPr>
        <w:rPr>
          <w:rFonts w:ascii="Calibri" w:eastAsia="Calibri" w:hAnsi="Calibri" w:cs="Calibri"/>
          <w:i/>
          <w:iCs/>
        </w:rPr>
      </w:pPr>
      <w:proofErr w:type="spellStart"/>
      <w:r w:rsidRPr="1DD35DF2">
        <w:rPr>
          <w:rFonts w:ascii="Calibri" w:eastAsia="Calibri" w:hAnsi="Calibri" w:cs="Calibri"/>
        </w:rPr>
        <w:t>Wanner</w:t>
      </w:r>
      <w:proofErr w:type="spellEnd"/>
      <w:r w:rsidRPr="1DD35DF2">
        <w:rPr>
          <w:rFonts w:ascii="Calibri" w:eastAsia="Calibri" w:hAnsi="Calibri" w:cs="Calibri"/>
        </w:rPr>
        <w:t xml:space="preserve">, Thomas and Edward Palmer. 2018. “Formative </w:t>
      </w:r>
      <w:r w:rsidR="008F7A1B">
        <w:rPr>
          <w:rFonts w:ascii="Calibri" w:eastAsia="Calibri" w:hAnsi="Calibri" w:cs="Calibri"/>
        </w:rPr>
        <w:t>s</w:t>
      </w:r>
      <w:r w:rsidRPr="1DD35DF2">
        <w:rPr>
          <w:rFonts w:ascii="Calibri" w:eastAsia="Calibri" w:hAnsi="Calibri" w:cs="Calibri"/>
        </w:rPr>
        <w:t xml:space="preserve">elf-and </w:t>
      </w:r>
      <w:r w:rsidR="008F7A1B">
        <w:rPr>
          <w:rFonts w:ascii="Calibri" w:eastAsia="Calibri" w:hAnsi="Calibri" w:cs="Calibri"/>
        </w:rPr>
        <w:t>p</w:t>
      </w:r>
      <w:r w:rsidRPr="1DD35DF2">
        <w:rPr>
          <w:rFonts w:ascii="Calibri" w:eastAsia="Calibri" w:hAnsi="Calibri" w:cs="Calibri"/>
        </w:rPr>
        <w:t xml:space="preserve">eer </w:t>
      </w:r>
      <w:r w:rsidR="008F7A1B">
        <w:rPr>
          <w:rFonts w:ascii="Calibri" w:eastAsia="Calibri" w:hAnsi="Calibri" w:cs="Calibri"/>
        </w:rPr>
        <w:t>a</w:t>
      </w:r>
      <w:r w:rsidRPr="1DD35DF2">
        <w:rPr>
          <w:rFonts w:ascii="Calibri" w:eastAsia="Calibri" w:hAnsi="Calibri" w:cs="Calibri"/>
        </w:rPr>
        <w:t xml:space="preserve">ssessment for </w:t>
      </w:r>
      <w:r w:rsidR="008F7A1B">
        <w:rPr>
          <w:rFonts w:ascii="Calibri" w:eastAsia="Calibri" w:hAnsi="Calibri" w:cs="Calibri"/>
        </w:rPr>
        <w:t>i</w:t>
      </w:r>
      <w:r w:rsidRPr="1DD35DF2">
        <w:rPr>
          <w:rFonts w:ascii="Calibri" w:eastAsia="Calibri" w:hAnsi="Calibri" w:cs="Calibri"/>
        </w:rPr>
        <w:t xml:space="preserve">mproved </w:t>
      </w:r>
      <w:r w:rsidR="008F7A1B">
        <w:rPr>
          <w:rFonts w:ascii="Calibri" w:eastAsia="Calibri" w:hAnsi="Calibri" w:cs="Calibri"/>
        </w:rPr>
        <w:t>s</w:t>
      </w:r>
      <w:r w:rsidRPr="1DD35DF2">
        <w:rPr>
          <w:rFonts w:ascii="Calibri" w:eastAsia="Calibri" w:hAnsi="Calibri" w:cs="Calibri"/>
        </w:rPr>
        <w:t xml:space="preserve">tudent </w:t>
      </w:r>
      <w:r w:rsidR="008F7A1B">
        <w:rPr>
          <w:rFonts w:ascii="Calibri" w:eastAsia="Calibri" w:hAnsi="Calibri" w:cs="Calibri"/>
        </w:rPr>
        <w:t>l</w:t>
      </w:r>
      <w:r w:rsidRPr="1DD35DF2">
        <w:rPr>
          <w:rFonts w:ascii="Calibri" w:eastAsia="Calibri" w:hAnsi="Calibri" w:cs="Calibri"/>
        </w:rPr>
        <w:t xml:space="preserve">earning: </w:t>
      </w:r>
      <w:r w:rsidR="008F7A1B">
        <w:rPr>
          <w:rFonts w:ascii="Calibri" w:eastAsia="Calibri" w:hAnsi="Calibri" w:cs="Calibri"/>
        </w:rPr>
        <w:t>t</w:t>
      </w:r>
      <w:r w:rsidRPr="1DD35DF2">
        <w:rPr>
          <w:rFonts w:ascii="Calibri" w:eastAsia="Calibri" w:hAnsi="Calibri" w:cs="Calibri"/>
        </w:rPr>
        <w:t xml:space="preserve">he </w:t>
      </w:r>
      <w:r w:rsidR="008F7A1B">
        <w:rPr>
          <w:rFonts w:ascii="Calibri" w:eastAsia="Calibri" w:hAnsi="Calibri" w:cs="Calibri"/>
        </w:rPr>
        <w:t>c</w:t>
      </w:r>
      <w:r w:rsidRPr="1DD35DF2">
        <w:rPr>
          <w:rFonts w:ascii="Calibri" w:eastAsia="Calibri" w:hAnsi="Calibri" w:cs="Calibri"/>
        </w:rPr>
        <w:t xml:space="preserve">rucial </w:t>
      </w:r>
      <w:r w:rsidR="008F7A1B">
        <w:rPr>
          <w:rFonts w:ascii="Calibri" w:eastAsia="Calibri" w:hAnsi="Calibri" w:cs="Calibri"/>
        </w:rPr>
        <w:t>f</w:t>
      </w:r>
      <w:r w:rsidRPr="1DD35DF2">
        <w:rPr>
          <w:rFonts w:ascii="Calibri" w:eastAsia="Calibri" w:hAnsi="Calibri" w:cs="Calibri"/>
        </w:rPr>
        <w:t xml:space="preserve">actors of </w:t>
      </w:r>
      <w:r w:rsidR="008F7A1B">
        <w:rPr>
          <w:rFonts w:ascii="Calibri" w:eastAsia="Calibri" w:hAnsi="Calibri" w:cs="Calibri"/>
        </w:rPr>
        <w:t>d</w:t>
      </w:r>
      <w:r w:rsidRPr="1DD35DF2">
        <w:rPr>
          <w:rFonts w:ascii="Calibri" w:eastAsia="Calibri" w:hAnsi="Calibri" w:cs="Calibri"/>
        </w:rPr>
        <w:t xml:space="preserve">esign, </w:t>
      </w:r>
      <w:r w:rsidR="008F7A1B">
        <w:rPr>
          <w:rFonts w:ascii="Calibri" w:eastAsia="Calibri" w:hAnsi="Calibri" w:cs="Calibri"/>
        </w:rPr>
        <w:t>t</w:t>
      </w:r>
      <w:r w:rsidRPr="1DD35DF2">
        <w:rPr>
          <w:rFonts w:ascii="Calibri" w:eastAsia="Calibri" w:hAnsi="Calibri" w:cs="Calibri"/>
        </w:rPr>
        <w:t xml:space="preserve">eacher </w:t>
      </w:r>
      <w:r w:rsidR="008F7A1B">
        <w:rPr>
          <w:rFonts w:ascii="Calibri" w:eastAsia="Calibri" w:hAnsi="Calibri" w:cs="Calibri"/>
        </w:rPr>
        <w:t>p</w:t>
      </w:r>
      <w:r w:rsidRPr="1DD35DF2">
        <w:rPr>
          <w:rFonts w:ascii="Calibri" w:eastAsia="Calibri" w:hAnsi="Calibri" w:cs="Calibri"/>
        </w:rPr>
        <w:t xml:space="preserve">articipation and </w:t>
      </w:r>
      <w:r w:rsidR="008F7A1B">
        <w:rPr>
          <w:rFonts w:ascii="Calibri" w:eastAsia="Calibri" w:hAnsi="Calibri" w:cs="Calibri"/>
        </w:rPr>
        <w:t>f</w:t>
      </w:r>
      <w:r w:rsidRPr="1DD35DF2">
        <w:rPr>
          <w:rFonts w:ascii="Calibri" w:eastAsia="Calibri" w:hAnsi="Calibri" w:cs="Calibri"/>
        </w:rPr>
        <w:t xml:space="preserve">eedback.” </w:t>
      </w:r>
      <w:r w:rsidRPr="1DD35DF2">
        <w:rPr>
          <w:rFonts w:ascii="Calibri" w:eastAsia="Calibri" w:hAnsi="Calibri" w:cs="Calibri"/>
          <w:i/>
          <w:iCs/>
        </w:rPr>
        <w:t>Assessment &amp; Evaluation in Higher Education</w:t>
      </w:r>
      <w:r w:rsidRPr="1DD35DF2">
        <w:rPr>
          <w:rFonts w:ascii="Calibri" w:eastAsia="Calibri" w:hAnsi="Calibri" w:cs="Calibri"/>
        </w:rPr>
        <w:t xml:space="preserve"> 43.7: 1032-1047.</w:t>
      </w:r>
    </w:p>
    <w:sectPr w:rsidR="1DD3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3EFF"/>
    <w:multiLevelType w:val="hybridMultilevel"/>
    <w:tmpl w:val="E73804BC"/>
    <w:lvl w:ilvl="0" w:tplc="0CDC9CEA">
      <w:start w:val="1"/>
      <w:numFmt w:val="decimal"/>
      <w:lvlText w:val="%1."/>
      <w:lvlJc w:val="left"/>
      <w:pPr>
        <w:ind w:left="720" w:hanging="360"/>
      </w:pPr>
    </w:lvl>
    <w:lvl w:ilvl="1" w:tplc="54E2CBB6">
      <w:start w:val="1"/>
      <w:numFmt w:val="lowerLetter"/>
      <w:lvlText w:val="%2."/>
      <w:lvlJc w:val="left"/>
      <w:pPr>
        <w:ind w:left="1440" w:hanging="360"/>
      </w:pPr>
    </w:lvl>
    <w:lvl w:ilvl="2" w:tplc="B8E49C8E">
      <w:start w:val="1"/>
      <w:numFmt w:val="lowerRoman"/>
      <w:lvlText w:val="%3."/>
      <w:lvlJc w:val="right"/>
      <w:pPr>
        <w:ind w:left="2160" w:hanging="180"/>
      </w:pPr>
    </w:lvl>
    <w:lvl w:ilvl="3" w:tplc="5A7C99C0">
      <w:start w:val="1"/>
      <w:numFmt w:val="decimal"/>
      <w:lvlText w:val="%4."/>
      <w:lvlJc w:val="left"/>
      <w:pPr>
        <w:ind w:left="2880" w:hanging="360"/>
      </w:pPr>
    </w:lvl>
    <w:lvl w:ilvl="4" w:tplc="CC821286">
      <w:start w:val="1"/>
      <w:numFmt w:val="lowerLetter"/>
      <w:lvlText w:val="%5."/>
      <w:lvlJc w:val="left"/>
      <w:pPr>
        <w:ind w:left="3600" w:hanging="360"/>
      </w:pPr>
    </w:lvl>
    <w:lvl w:ilvl="5" w:tplc="F9AC02C4">
      <w:start w:val="1"/>
      <w:numFmt w:val="lowerRoman"/>
      <w:lvlText w:val="%6."/>
      <w:lvlJc w:val="right"/>
      <w:pPr>
        <w:ind w:left="4320" w:hanging="180"/>
      </w:pPr>
    </w:lvl>
    <w:lvl w:ilvl="6" w:tplc="54D4E436">
      <w:start w:val="1"/>
      <w:numFmt w:val="decimal"/>
      <w:lvlText w:val="%7."/>
      <w:lvlJc w:val="left"/>
      <w:pPr>
        <w:ind w:left="5040" w:hanging="360"/>
      </w:pPr>
    </w:lvl>
    <w:lvl w:ilvl="7" w:tplc="9964FDFE">
      <w:start w:val="1"/>
      <w:numFmt w:val="lowerLetter"/>
      <w:lvlText w:val="%8."/>
      <w:lvlJc w:val="left"/>
      <w:pPr>
        <w:ind w:left="5760" w:hanging="360"/>
      </w:pPr>
    </w:lvl>
    <w:lvl w:ilvl="8" w:tplc="87C07BB8">
      <w:start w:val="1"/>
      <w:numFmt w:val="lowerRoman"/>
      <w:lvlText w:val="%9."/>
      <w:lvlJc w:val="right"/>
      <w:pPr>
        <w:ind w:left="6480" w:hanging="180"/>
      </w:pPr>
    </w:lvl>
  </w:abstractNum>
  <w:abstractNum w:abstractNumId="1" w15:restartNumberingAfterBreak="0">
    <w:nsid w:val="50E4720B"/>
    <w:multiLevelType w:val="hybridMultilevel"/>
    <w:tmpl w:val="D35AC2CE"/>
    <w:lvl w:ilvl="0" w:tplc="DB2240DA">
      <w:start w:val="1"/>
      <w:numFmt w:val="bullet"/>
      <w:lvlText w:val=""/>
      <w:lvlJc w:val="left"/>
      <w:pPr>
        <w:ind w:left="720" w:hanging="360"/>
      </w:pPr>
      <w:rPr>
        <w:rFonts w:ascii="Symbol" w:hAnsi="Symbol" w:hint="default"/>
      </w:rPr>
    </w:lvl>
    <w:lvl w:ilvl="1" w:tplc="6400B250">
      <w:start w:val="1"/>
      <w:numFmt w:val="bullet"/>
      <w:lvlText w:val="o"/>
      <w:lvlJc w:val="left"/>
      <w:pPr>
        <w:ind w:left="1440" w:hanging="360"/>
      </w:pPr>
      <w:rPr>
        <w:rFonts w:ascii="Courier New" w:hAnsi="Courier New" w:hint="default"/>
      </w:rPr>
    </w:lvl>
    <w:lvl w:ilvl="2" w:tplc="22FED78A">
      <w:start w:val="1"/>
      <w:numFmt w:val="bullet"/>
      <w:lvlText w:val=""/>
      <w:lvlJc w:val="left"/>
      <w:pPr>
        <w:ind w:left="2160" w:hanging="360"/>
      </w:pPr>
      <w:rPr>
        <w:rFonts w:ascii="Wingdings" w:hAnsi="Wingdings" w:hint="default"/>
      </w:rPr>
    </w:lvl>
    <w:lvl w:ilvl="3" w:tplc="46407F6C">
      <w:start w:val="1"/>
      <w:numFmt w:val="bullet"/>
      <w:lvlText w:val=""/>
      <w:lvlJc w:val="left"/>
      <w:pPr>
        <w:ind w:left="2880" w:hanging="360"/>
      </w:pPr>
      <w:rPr>
        <w:rFonts w:ascii="Symbol" w:hAnsi="Symbol" w:hint="default"/>
      </w:rPr>
    </w:lvl>
    <w:lvl w:ilvl="4" w:tplc="D7B0FC42">
      <w:start w:val="1"/>
      <w:numFmt w:val="bullet"/>
      <w:lvlText w:val="o"/>
      <w:lvlJc w:val="left"/>
      <w:pPr>
        <w:ind w:left="3600" w:hanging="360"/>
      </w:pPr>
      <w:rPr>
        <w:rFonts w:ascii="Courier New" w:hAnsi="Courier New" w:hint="default"/>
      </w:rPr>
    </w:lvl>
    <w:lvl w:ilvl="5" w:tplc="0E820AEA">
      <w:start w:val="1"/>
      <w:numFmt w:val="bullet"/>
      <w:lvlText w:val=""/>
      <w:lvlJc w:val="left"/>
      <w:pPr>
        <w:ind w:left="4320" w:hanging="360"/>
      </w:pPr>
      <w:rPr>
        <w:rFonts w:ascii="Wingdings" w:hAnsi="Wingdings" w:hint="default"/>
      </w:rPr>
    </w:lvl>
    <w:lvl w:ilvl="6" w:tplc="1FD6A190">
      <w:start w:val="1"/>
      <w:numFmt w:val="bullet"/>
      <w:lvlText w:val=""/>
      <w:lvlJc w:val="left"/>
      <w:pPr>
        <w:ind w:left="5040" w:hanging="360"/>
      </w:pPr>
      <w:rPr>
        <w:rFonts w:ascii="Symbol" w:hAnsi="Symbol" w:hint="default"/>
      </w:rPr>
    </w:lvl>
    <w:lvl w:ilvl="7" w:tplc="C46CDB06">
      <w:start w:val="1"/>
      <w:numFmt w:val="bullet"/>
      <w:lvlText w:val="o"/>
      <w:lvlJc w:val="left"/>
      <w:pPr>
        <w:ind w:left="5760" w:hanging="360"/>
      </w:pPr>
      <w:rPr>
        <w:rFonts w:ascii="Courier New" w:hAnsi="Courier New" w:hint="default"/>
      </w:rPr>
    </w:lvl>
    <w:lvl w:ilvl="8" w:tplc="138C1F88">
      <w:start w:val="1"/>
      <w:numFmt w:val="bullet"/>
      <w:lvlText w:val=""/>
      <w:lvlJc w:val="left"/>
      <w:pPr>
        <w:ind w:left="6480" w:hanging="360"/>
      </w:pPr>
      <w:rPr>
        <w:rFonts w:ascii="Wingdings" w:hAnsi="Wingdings" w:hint="default"/>
      </w:rPr>
    </w:lvl>
  </w:abstractNum>
  <w:abstractNum w:abstractNumId="2" w15:restartNumberingAfterBreak="0">
    <w:nsid w:val="71AA4971"/>
    <w:multiLevelType w:val="hybridMultilevel"/>
    <w:tmpl w:val="4FFE5CB0"/>
    <w:lvl w:ilvl="0" w:tplc="440E5B6E">
      <w:start w:val="1"/>
      <w:numFmt w:val="decimal"/>
      <w:lvlText w:val="%1."/>
      <w:lvlJc w:val="left"/>
      <w:pPr>
        <w:ind w:left="720" w:hanging="360"/>
      </w:pPr>
    </w:lvl>
    <w:lvl w:ilvl="1" w:tplc="0B46D526">
      <w:start w:val="1"/>
      <w:numFmt w:val="lowerLetter"/>
      <w:lvlText w:val="%2."/>
      <w:lvlJc w:val="left"/>
      <w:pPr>
        <w:ind w:left="1440" w:hanging="360"/>
      </w:pPr>
    </w:lvl>
    <w:lvl w:ilvl="2" w:tplc="B0D2D912">
      <w:start w:val="1"/>
      <w:numFmt w:val="lowerRoman"/>
      <w:lvlText w:val="%3."/>
      <w:lvlJc w:val="right"/>
      <w:pPr>
        <w:ind w:left="2160" w:hanging="180"/>
      </w:pPr>
    </w:lvl>
    <w:lvl w:ilvl="3" w:tplc="239A26E4">
      <w:start w:val="1"/>
      <w:numFmt w:val="decimal"/>
      <w:lvlText w:val="%4."/>
      <w:lvlJc w:val="left"/>
      <w:pPr>
        <w:ind w:left="2880" w:hanging="360"/>
      </w:pPr>
    </w:lvl>
    <w:lvl w:ilvl="4" w:tplc="7F3EE3AA">
      <w:start w:val="1"/>
      <w:numFmt w:val="lowerLetter"/>
      <w:lvlText w:val="%5."/>
      <w:lvlJc w:val="left"/>
      <w:pPr>
        <w:ind w:left="3600" w:hanging="360"/>
      </w:pPr>
    </w:lvl>
    <w:lvl w:ilvl="5" w:tplc="8BC45638">
      <w:start w:val="1"/>
      <w:numFmt w:val="lowerRoman"/>
      <w:lvlText w:val="%6."/>
      <w:lvlJc w:val="right"/>
      <w:pPr>
        <w:ind w:left="4320" w:hanging="180"/>
      </w:pPr>
    </w:lvl>
    <w:lvl w:ilvl="6" w:tplc="3C2E3EC8">
      <w:start w:val="1"/>
      <w:numFmt w:val="decimal"/>
      <w:lvlText w:val="%7."/>
      <w:lvlJc w:val="left"/>
      <w:pPr>
        <w:ind w:left="5040" w:hanging="360"/>
      </w:pPr>
    </w:lvl>
    <w:lvl w:ilvl="7" w:tplc="110675C6">
      <w:start w:val="1"/>
      <w:numFmt w:val="lowerLetter"/>
      <w:lvlText w:val="%8."/>
      <w:lvlJc w:val="left"/>
      <w:pPr>
        <w:ind w:left="5760" w:hanging="360"/>
      </w:pPr>
    </w:lvl>
    <w:lvl w:ilvl="8" w:tplc="AE625EC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7C"/>
    <w:rsid w:val="000B151C"/>
    <w:rsid w:val="000B79E1"/>
    <w:rsid w:val="001A5441"/>
    <w:rsid w:val="001F59BE"/>
    <w:rsid w:val="003B3BD5"/>
    <w:rsid w:val="003B5F8D"/>
    <w:rsid w:val="00477613"/>
    <w:rsid w:val="007606E2"/>
    <w:rsid w:val="008F7A1B"/>
    <w:rsid w:val="00AB2A7C"/>
    <w:rsid w:val="00B03F7B"/>
    <w:rsid w:val="00C348EE"/>
    <w:rsid w:val="00D94A7F"/>
    <w:rsid w:val="00EF0231"/>
    <w:rsid w:val="1DD35DF2"/>
    <w:rsid w:val="2716D731"/>
    <w:rsid w:val="399A4750"/>
    <w:rsid w:val="5737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F229"/>
  <w15:chartTrackingRefBased/>
  <w15:docId w15:val="{99A10EE0-CDDC-4A17-8FBB-2CDD639C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A5441"/>
    <w:rPr>
      <w:color w:val="605E5C"/>
      <w:shd w:val="clear" w:color="auto" w:fill="E1DFDD"/>
    </w:rPr>
  </w:style>
  <w:style w:type="paragraph" w:styleId="NoSpacing">
    <w:name w:val="No Spacing"/>
    <w:uiPriority w:val="1"/>
    <w:qFormat/>
    <w:rsid w:val="001A5441"/>
    <w:pPr>
      <w:spacing w:after="0" w:line="240" w:lineRule="auto"/>
    </w:pPr>
  </w:style>
  <w:style w:type="character" w:styleId="FollowedHyperlink">
    <w:name w:val="FollowedHyperlink"/>
    <w:basedOn w:val="DefaultParagraphFont"/>
    <w:uiPriority w:val="99"/>
    <w:semiHidden/>
    <w:unhideWhenUsed/>
    <w:rsid w:val="000B7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review.com/2017/05/22/teaching-revision-plans/" TargetMode="External"/><Relationship Id="rId3" Type="http://schemas.openxmlformats.org/officeDocument/2006/relationships/settings" Target="settings.xml"/><Relationship Id="rId7" Type="http://schemas.openxmlformats.org/officeDocument/2006/relationships/hyperlink" Target="https://iucat.iu.edu/catalog/182791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cat.iu.edu/catalog/1665927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scribe.education/main/indianau/6754110229451715/compositions/6749461749435373?backToListTab=search&amp;searchText=peer+review" TargetMode="External"/><Relationship Id="rId4" Type="http://schemas.openxmlformats.org/officeDocument/2006/relationships/webSettings" Target="webSettings.xml"/><Relationship Id="rId9" Type="http://schemas.openxmlformats.org/officeDocument/2006/relationships/hyperlink" Target="https://inscribe.education/main/indianau/6754110229451715/compositions/6749461749435373?backToListTab=search&amp;searchText=pe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John Paul</cp:lastModifiedBy>
  <cp:revision>5</cp:revision>
  <dcterms:created xsi:type="dcterms:W3CDTF">2020-09-15T18:35:00Z</dcterms:created>
  <dcterms:modified xsi:type="dcterms:W3CDTF">2020-09-15T18:42:00Z</dcterms:modified>
</cp:coreProperties>
</file>